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center"/>
        <w:keepNext/>
        <w:keepLines/>
      </w:pPr>
      <w:r>
        <w:rPr>
          <w:rFonts w:ascii="Arial" w:hAnsi="Arial"/>
          <w:b/>
          <w:i w:val="0"/>
          <w:color w:val="0B2C7D"/>
          <w:sz w:val="48"/>
        </w:rPr>
        <w:t>Simon Heikkila</w:t>
      </w:r>
    </w:p>
    <w:p>
      <w:pPr>
        <w:spacing w:before="0" w:after="80"/>
        <w:jc w:val="center"/>
        <w:keepNext/>
        <w:keepLines/>
      </w:pPr>
      <w:r>
        <w:rPr>
          <w:rFonts w:ascii="Arial" w:hAnsi="Arial"/>
          <w:b/>
          <w:i w:val="0"/>
          <w:color w:val="141B2B"/>
          <w:sz w:val="21"/>
        </w:rPr>
        <w:t>AI-native UI/UX designer and design engineer</w:t>
      </w:r>
    </w:p>
    <w:p>
      <w:pPr>
        <w:spacing w:before="0" w:after="140"/>
        <w:jc w:val="center"/>
        <w:keepNext/>
        <w:keepLines/>
      </w:pPr>
      <w:r>
        <w:rPr>
          <w:rFonts w:ascii="Arial" w:hAnsi="Arial"/>
          <w:b w:val="0"/>
          <w:i w:val="0"/>
          <w:color w:val="454E60"/>
          <w:sz w:val="18"/>
        </w:rPr>
        <w:t xml:space="preserve">Brisbane, Australia | </w:t>
      </w:r>
      <w:hyperlink r:id="rId9">
        <w:r>
          <w:rPr>
            <w:rFonts w:ascii="Arial" w:hAnsi="Arial"/>
            <w:color w:val="0B2C7D"/>
            <w:u w:val="single"/>
            <w:sz w:val="18"/>
          </w:rPr>
          <w:t>simon@simonheikkila.com</w:t>
        </w:r>
      </w:hyperlink>
      <w:r>
        <w:rPr>
          <w:rFonts w:ascii="Arial" w:hAnsi="Arial"/>
          <w:b w:val="0"/>
          <w:i w:val="0"/>
          <w:color w:val="454E60"/>
          <w:sz w:val="18"/>
        </w:rPr>
        <w:t xml:space="preserve"> | </w:t>
      </w:r>
      <w:hyperlink r:id="rId10">
        <w:r>
          <w:rPr>
            <w:rFonts w:ascii="Arial" w:hAnsi="Arial"/>
            <w:color w:val="0B2C7D"/>
            <w:u w:val="single"/>
            <w:sz w:val="18"/>
          </w:rPr>
          <w:t>simonheikkila.com</w:t>
        </w:r>
      </w:hyperlink>
      <w:r>
        <w:rPr>
          <w:rFonts w:ascii="Arial" w:hAnsi="Arial"/>
          <w:b w:val="0"/>
          <w:i w:val="0"/>
          <w:color w:val="454E60"/>
          <w:sz w:val="18"/>
        </w:rPr>
        <w:t xml:space="preserve"> | </w:t>
      </w:r>
      <w:hyperlink r:id="rId11">
        <w:r>
          <w:rPr>
            <w:rFonts w:ascii="Arial" w:hAnsi="Arial"/>
            <w:color w:val="0B2C7D"/>
            <w:u w:val="single"/>
            <w:sz w:val="18"/>
          </w:rPr>
          <w:t>linkedin.com/in/simon-heikkila</w:t>
        </w:r>
      </w:hyperlink>
    </w:p>
    <w:p>
      <w:pPr>
        <w:pStyle w:val="Heading1"/>
        <w:keepNext/>
      </w:pPr>
      <w:r>
        <w:rPr>
          <w:rFonts w:ascii="Arial" w:hAnsi="Arial"/>
          <w:b/>
          <w:i w:val="0"/>
          <w:color w:val="0B2C7D"/>
          <w:sz w:val="20"/>
        </w:rPr>
        <w:t>PROFILE</w:t>
      </w:r>
    </w:p>
    <w:p>
      <w:pPr>
        <w:spacing w:after="80"/>
        <w:keepLines/>
      </w:pPr>
      <w:r>
        <w:rPr>
          <w:rFonts w:ascii="Arial" w:hAnsi="Arial"/>
          <w:b w:val="0"/>
          <w:i w:val="0"/>
          <w:color w:val="454E60"/>
          <w:sz w:val="19"/>
        </w:rPr>
        <w:t>Product designer and design engineer with a background in product ownership, distributed delivery and hands-on implementation. I use AI agents to move from brief to reviewed build quickly, while keeping the problem, system, accessibility and release standard under human control. Strongest in complex forms, operational workflows and regulated services where speed cannot come at the cost of clarity or maintainability.</w:t>
      </w:r>
    </w:p>
    <w:p>
      <w:pPr>
        <w:pStyle w:val="Heading1"/>
        <w:keepNext/>
      </w:pPr>
      <w:r>
        <w:rPr>
          <w:rFonts w:ascii="Arial" w:hAnsi="Arial"/>
          <w:b/>
          <w:i w:val="0"/>
          <w:color w:val="0B2C7D"/>
          <w:sz w:val="20"/>
        </w:rPr>
        <w:t>CORE CAPABILITIES</w:t>
      </w:r>
    </w:p>
    <w:p>
      <w:pPr>
        <w:spacing w:after="40"/>
        <w:keepLines/>
      </w:pPr>
      <w:r>
        <w:rPr>
          <w:rFonts w:ascii="Arial" w:hAnsi="Arial"/>
          <w:b/>
          <w:i w:val="0"/>
          <w:color w:val="141B2B"/>
          <w:sz w:val="18"/>
        </w:rPr>
        <w:t xml:space="preserve">Product design: </w:t>
      </w:r>
      <w:r>
        <w:rPr>
          <w:rFonts w:ascii="Arial" w:hAnsi="Arial"/>
          <w:b w:val="0"/>
          <w:i w:val="0"/>
          <w:color w:val="454E60"/>
          <w:sz w:val="18"/>
        </w:rPr>
        <w:t>Workflow design, interaction design, information architecture, prototyping, complex forms, responsive UI, accessibility and design QA</w:t>
      </w:r>
    </w:p>
    <w:p>
      <w:pPr>
        <w:spacing w:after="40"/>
        <w:keepLines/>
      </w:pPr>
      <w:r>
        <w:rPr>
          <w:rFonts w:ascii="Arial" w:hAnsi="Arial"/>
          <w:b/>
          <w:i w:val="0"/>
          <w:color w:val="141B2B"/>
          <w:sz w:val="18"/>
        </w:rPr>
        <w:t xml:space="preserve">Design systems: </w:t>
      </w:r>
      <w:r>
        <w:rPr>
          <w:rFonts w:ascii="Arial" w:hAnsi="Arial"/>
          <w:b w:val="0"/>
          <w:i w:val="0"/>
          <w:color w:val="454E60"/>
          <w:sz w:val="18"/>
        </w:rPr>
        <w:t>Component libraries, design tokens, reusable patterns, progressive disclosure, implementation review and system governance</w:t>
      </w:r>
    </w:p>
    <w:p>
      <w:pPr>
        <w:spacing w:after="40"/>
        <w:keepLines/>
      </w:pPr>
      <w:r>
        <w:rPr>
          <w:rFonts w:ascii="Arial" w:hAnsi="Arial"/>
          <w:b/>
          <w:i w:val="0"/>
          <w:color w:val="141B2B"/>
          <w:sz w:val="18"/>
        </w:rPr>
        <w:t xml:space="preserve">AI-native delivery: </w:t>
      </w:r>
      <w:r>
        <w:rPr>
          <w:rFonts w:ascii="Arial" w:hAnsi="Arial"/>
          <w:b w:val="0"/>
          <w:i w:val="0"/>
          <w:color w:val="454E60"/>
          <w:sz w:val="18"/>
        </w:rPr>
        <w:t>Problem framing, scoped delegation, agent orchestration, review gates, testing, documented failure paths and maintainable implementation</w:t>
      </w:r>
    </w:p>
    <w:p>
      <w:pPr>
        <w:spacing w:after="40"/>
        <w:keepLines/>
      </w:pPr>
      <w:r>
        <w:rPr>
          <w:rFonts w:ascii="Arial" w:hAnsi="Arial"/>
          <w:b/>
          <w:i w:val="0"/>
          <w:color w:val="141B2B"/>
          <w:sz w:val="18"/>
        </w:rPr>
        <w:t xml:space="preserve">Product leadership: </w:t>
      </w:r>
      <w:r>
        <w:rPr>
          <w:rFonts w:ascii="Arial" w:hAnsi="Arial"/>
          <w:b w:val="0"/>
          <w:i w:val="0"/>
          <w:color w:val="454E60"/>
          <w:sz w:val="18"/>
        </w:rPr>
        <w:t>Product ownership, Scrum, LeSS, distributed teams, roadmap decisions, stakeholder translation and release readiness</w:t>
      </w:r>
    </w:p>
    <w:p>
      <w:pPr>
        <w:spacing w:after="40"/>
        <w:keepLines/>
      </w:pPr>
      <w:r>
        <w:rPr>
          <w:rFonts w:ascii="Arial" w:hAnsi="Arial"/>
          <w:b/>
          <w:i w:val="0"/>
          <w:color w:val="141B2B"/>
          <w:sz w:val="18"/>
        </w:rPr>
        <w:t xml:space="preserve">Implementation: </w:t>
      </w:r>
      <w:r>
        <w:rPr>
          <w:rFonts w:ascii="Arial" w:hAnsi="Arial"/>
          <w:b w:val="0"/>
          <w:i w:val="0"/>
          <w:color w:val="454E60"/>
          <w:sz w:val="18"/>
        </w:rPr>
        <w:t>React, TypeScript, Astro, Next.js, HTML, CSS, ClickUp, HubSpot, Sketch and staging QA</w:t>
      </w:r>
    </w:p>
    <w:p>
      <w:pPr>
        <w:pStyle w:val="Heading1"/>
        <w:keepNext/>
      </w:pPr>
      <w:r>
        <w:rPr>
          <w:rFonts w:ascii="Arial" w:hAnsi="Arial"/>
          <w:b/>
          <w:i w:val="0"/>
          <w:color w:val="0B2C7D"/>
          <w:sz w:val="20"/>
        </w:rPr>
        <w:t>PROFESSIONAL EXPERIENCE</w:t>
      </w:r>
    </w:p>
    <w:p>
      <w:pPr>
        <w:pStyle w:val="ResumeRole"/>
        <w:tabs>
          <w:tab w:pos="10080" w:val="right"/>
        </w:tabs>
        <w:keepNext/>
        <w:keepLines/>
      </w:pPr>
      <w:r>
        <w:rPr>
          <w:rFonts w:ascii="Arial" w:hAnsi="Arial"/>
          <w:b/>
          <w:i w:val="0"/>
          <w:color w:val="141B2B"/>
          <w:sz w:val="22"/>
        </w:rPr>
        <w:t>Heikkila Pty Ltd</w:t>
      </w:r>
      <w:r>
        <w:rPr>
          <w:rFonts w:ascii="Arial" w:hAnsi="Arial"/>
          <w:b/>
          <w:i w:val="0"/>
          <w:color w:val="0B2C7D"/>
          <w:sz w:val="18"/>
        </w:rPr>
        <w:tab/>
        <w:t>Apr 2019 to present</w:t>
      </w:r>
    </w:p>
    <w:p>
      <w:pPr>
        <w:pStyle w:val="ResumeRoleDetail"/>
        <w:tabs>
          <w:tab w:pos="10080" w:val="right"/>
        </w:tabs>
        <w:keepNext/>
        <w:keepLines/>
      </w:pPr>
      <w:r>
        <w:rPr>
          <w:rFonts w:ascii="Arial" w:hAnsi="Arial"/>
          <w:b/>
          <w:i w:val="0"/>
          <w:color w:val="454E60"/>
          <w:sz w:val="18"/>
        </w:rPr>
        <w:t>Director / Product Consultant</w:t>
      </w:r>
      <w:r>
        <w:rPr>
          <w:rFonts w:ascii="Arial" w:hAnsi="Arial"/>
          <w:b w:val="0"/>
          <w:i/>
          <w:color w:val="454E60"/>
          <w:sz w:val="18"/>
        </w:rPr>
        <w:tab/>
        <w:t>Brisbane, Australia</w:t>
      </w:r>
    </w:p>
    <w:p>
      <w:pPr>
        <w:pStyle w:val="ResumeBullet"/>
        <w:numPr>
          <w:ilvl w:val="0"/>
          <w:numId w:val="10"/>
        </w:numPr>
        <w:keepLines/>
      </w:pPr>
      <w:r>
        <w:rPr>
          <w:rFonts w:ascii="Arial" w:hAnsi="Arial"/>
          <w:b w:val="0"/>
          <w:i w:val="0"/>
          <w:color w:val="454E60"/>
          <w:sz w:val="18"/>
        </w:rPr>
        <w:t>Lead product, UX, workflow and delivery work for clients across property, financial services and technology, including interface design, operational systems, implementation and pitch decks.</w:t>
      </w:r>
    </w:p>
    <w:p>
      <w:pPr>
        <w:pStyle w:val="ResumeBullet"/>
        <w:numPr>
          <w:ilvl w:val="0"/>
          <w:numId w:val="10"/>
        </w:numPr>
        <w:keepLines/>
      </w:pPr>
      <w:r>
        <w:rPr>
          <w:rFonts w:ascii="Arial" w:hAnsi="Arial"/>
          <w:b w:val="0"/>
          <w:i w:val="0"/>
          <w:color w:val="454E60"/>
          <w:sz w:val="18"/>
        </w:rPr>
        <w:t>When an external vendor’s mortgage-platform rebuild showed material delivery risk, maintained a parallel implementation and formalised it as a contingency fork. Contributed critical security, UI, lead-flow and SEO fixes, then helped preserve a viable production path when cutover failed.</w:t>
      </w:r>
    </w:p>
    <w:p>
      <w:pPr>
        <w:pStyle w:val="ResumeBullet"/>
        <w:numPr>
          <w:ilvl w:val="0"/>
          <w:numId w:val="10"/>
        </w:numPr>
        <w:keepLines/>
      </w:pPr>
      <w:r>
        <w:rPr>
          <w:rFonts w:ascii="Arial" w:hAnsi="Arial"/>
          <w:b w:val="0"/>
          <w:i w:val="0"/>
          <w:color w:val="454E60"/>
          <w:sz w:val="18"/>
        </w:rPr>
        <w:t>Designed a ClickUp task system and content-review workflows that connect client knowledge with live work.</w:t>
      </w:r>
    </w:p>
    <w:p>
      <w:pPr>
        <w:pStyle w:val="ResumeBullet"/>
        <w:numPr>
          <w:ilvl w:val="0"/>
          <w:numId w:val="10"/>
        </w:numPr>
        <w:keepLines/>
      </w:pPr>
      <w:r>
        <w:rPr>
          <w:rFonts w:ascii="Arial" w:hAnsi="Arial"/>
          <w:b w:val="0"/>
          <w:i w:val="0"/>
          <w:color w:val="454E60"/>
          <w:sz w:val="18"/>
        </w:rPr>
        <w:t>Built pitch decks and financial models that supported more than $32M in confirmed closed fundraising across four property syndications and an oversubscribed venture fund.</w:t>
      </w:r>
    </w:p>
    <w:p>
      <w:pPr>
        <w:pStyle w:val="ResumeRole"/>
        <w:tabs>
          <w:tab w:pos="10080" w:val="right"/>
        </w:tabs>
        <w:keepNext/>
        <w:keepLines/>
      </w:pPr>
      <w:r>
        <w:rPr>
          <w:rFonts w:ascii="Arial" w:hAnsi="Arial"/>
          <w:b/>
          <w:i w:val="0"/>
          <w:color w:val="141B2B"/>
          <w:sz w:val="22"/>
        </w:rPr>
        <w:t>Simble Solutions</w:t>
      </w:r>
      <w:r>
        <w:rPr>
          <w:rFonts w:ascii="Arial" w:hAnsi="Arial"/>
          <w:b/>
          <w:i w:val="0"/>
          <w:color w:val="0B2C7D"/>
          <w:sz w:val="18"/>
        </w:rPr>
        <w:tab/>
        <w:t>Aug 2016 to Apr 2019</w:t>
      </w:r>
    </w:p>
    <w:p>
      <w:pPr>
        <w:pStyle w:val="ResumeRoleDetail"/>
        <w:tabs>
          <w:tab w:pos="10080" w:val="right"/>
        </w:tabs>
        <w:keepNext/>
        <w:keepLines/>
      </w:pPr>
      <w:r>
        <w:rPr>
          <w:rFonts w:ascii="Arial" w:hAnsi="Arial"/>
          <w:b/>
          <w:i w:val="0"/>
          <w:color w:val="454E60"/>
          <w:sz w:val="18"/>
        </w:rPr>
        <w:t>Product &amp; Operations Manager</w:t>
      </w:r>
      <w:r>
        <w:rPr>
          <w:rFonts w:ascii="Arial" w:hAnsi="Arial"/>
          <w:b w:val="0"/>
          <w:i/>
          <w:color w:val="454E60"/>
          <w:sz w:val="18"/>
        </w:rPr>
        <w:tab/>
        <w:t>Vietnam and Australia</w:t>
      </w:r>
    </w:p>
    <w:p>
      <w:pPr>
        <w:pStyle w:val="ResumeBullet"/>
        <w:numPr>
          <w:ilvl w:val="0"/>
          <w:numId w:val="10"/>
        </w:numPr>
        <w:keepLines/>
      </w:pPr>
      <w:r>
        <w:rPr>
          <w:rFonts w:ascii="Arial" w:hAnsi="Arial"/>
          <w:b w:val="0"/>
          <w:i w:val="0"/>
          <w:color w:val="454E60"/>
          <w:sz w:val="18"/>
        </w:rPr>
        <w:t>Coordinated product delivery across three distributed development teams under LeSS, while owning product management and Scrum Master responsibilities for Simble Forms and Simble Bookings.</w:t>
      </w:r>
    </w:p>
    <w:p>
      <w:pPr>
        <w:pStyle w:val="ResumeBullet"/>
        <w:numPr>
          <w:ilvl w:val="0"/>
          <w:numId w:val="10"/>
        </w:numPr>
        <w:keepLines/>
      </w:pPr>
      <w:r>
        <w:rPr>
          <w:rFonts w:ascii="Arial" w:hAnsi="Arial"/>
          <w:b w:val="0"/>
          <w:i w:val="0"/>
          <w:color w:val="454E60"/>
          <w:sz w:val="18"/>
        </w:rPr>
        <w:t>Took ownership of UI/UX for both products. Built a token-constrained Sketch library of 343 symbols for Forms and a separate atomic library for Bookings, and designed the core forms and booking flows from them.</w:t>
      </w:r>
    </w:p>
    <w:p>
      <w:pPr>
        <w:pStyle w:val="ResumeBullet"/>
        <w:numPr>
          <w:ilvl w:val="0"/>
          <w:numId w:val="10"/>
        </w:numPr>
        <w:keepLines/>
      </w:pPr>
      <w:r>
        <w:rPr>
          <w:rFonts w:ascii="Arial" w:hAnsi="Arial"/>
          <w:b w:val="0"/>
          <w:i w:val="0"/>
          <w:color w:val="454E60"/>
          <w:sz w:val="18"/>
        </w:rPr>
        <w:t>Reviewed implemented interfaces in staging and returned violations of the design system before release.</w:t>
      </w:r>
    </w:p>
    <w:p>
      <w:pPr>
        <w:pStyle w:val="ResumeBullet"/>
        <w:numPr>
          <w:ilvl w:val="0"/>
          <w:numId w:val="10"/>
        </w:numPr>
        <w:keepLines/>
      </w:pPr>
      <w:r>
        <w:rPr>
          <w:rFonts w:ascii="Arial" w:hAnsi="Arial"/>
          <w:b w:val="0"/>
          <w:i w:val="0"/>
          <w:color w:val="454E60"/>
          <w:sz w:val="18"/>
        </w:rPr>
        <w:t>Also held operations responsibility across Finance, People &amp; Culture, and Risk &amp; Compliance for Australasia.</w:t>
      </w:r>
    </w:p>
    <w:p>
      <w:r>
        <w:br w:type="page"/>
      </w:r>
    </w:p>
    <w:p>
      <w:pPr>
        <w:pStyle w:val="Heading1"/>
        <w:keepNext/>
      </w:pPr>
      <w:r>
        <w:rPr>
          <w:rFonts w:ascii="Arial" w:hAnsi="Arial"/>
          <w:b/>
          <w:i w:val="0"/>
          <w:color w:val="0B2C7D"/>
          <w:sz w:val="20"/>
        </w:rPr>
        <w:t>PROFESSIONAL EXPERIENCE, CONTINUED</w:t>
      </w:r>
    </w:p>
    <w:p>
      <w:pPr>
        <w:pStyle w:val="ResumeRole"/>
        <w:tabs>
          <w:tab w:pos="10080" w:val="right"/>
        </w:tabs>
        <w:keepNext/>
        <w:keepLines/>
      </w:pPr>
      <w:r>
        <w:rPr>
          <w:rFonts w:ascii="Arial" w:hAnsi="Arial"/>
          <w:b/>
          <w:i w:val="0"/>
          <w:color w:val="141B2B"/>
          <w:sz w:val="22"/>
        </w:rPr>
        <w:t>ChildsPass</w:t>
      </w:r>
      <w:r>
        <w:rPr>
          <w:rFonts w:ascii="Arial" w:hAnsi="Arial"/>
          <w:b/>
          <w:i w:val="0"/>
          <w:color w:val="0B2C7D"/>
          <w:sz w:val="18"/>
        </w:rPr>
        <w:tab/>
        <w:t>Sep 2015 to Aug 2016</w:t>
      </w:r>
    </w:p>
    <w:p>
      <w:pPr>
        <w:pStyle w:val="ResumeRoleDetail"/>
        <w:tabs>
          <w:tab w:pos="10080" w:val="right"/>
        </w:tabs>
        <w:keepNext/>
        <w:keepLines/>
      </w:pPr>
      <w:r>
        <w:rPr>
          <w:rFonts w:ascii="Arial" w:hAnsi="Arial"/>
          <w:b/>
          <w:i w:val="0"/>
          <w:color w:val="454E60"/>
          <w:sz w:val="18"/>
        </w:rPr>
        <w:t>Co-founder</w:t>
      </w:r>
      <w:r>
        <w:rPr>
          <w:rFonts w:ascii="Arial" w:hAnsi="Arial"/>
          <w:b w:val="0"/>
          <w:i/>
          <w:color w:val="454E60"/>
          <w:sz w:val="18"/>
        </w:rPr>
        <w:tab/>
        <w:t>Vietnam</w:t>
      </w:r>
    </w:p>
    <w:p>
      <w:pPr>
        <w:pStyle w:val="ResumeBullet"/>
        <w:numPr>
          <w:ilvl w:val="0"/>
          <w:numId w:val="10"/>
        </w:numPr>
        <w:keepLines/>
      </w:pPr>
      <w:r>
        <w:rPr>
          <w:rFonts w:ascii="Arial" w:hAnsi="Arial"/>
          <w:b w:val="0"/>
          <w:i w:val="0"/>
          <w:color w:val="454E60"/>
          <w:sz w:val="18"/>
        </w:rPr>
        <w:t>Co-founded and designed a marketplace for children’s activities, working across product, sales and operations as the team grew from four to eight.</w:t>
      </w:r>
    </w:p>
    <w:p>
      <w:pPr>
        <w:pStyle w:val="ResumeBullet"/>
        <w:numPr>
          <w:ilvl w:val="0"/>
          <w:numId w:val="10"/>
        </w:numPr>
        <w:keepLines/>
      </w:pPr>
      <w:r>
        <w:rPr>
          <w:rFonts w:ascii="Arial" w:hAnsi="Arial"/>
          <w:b w:val="0"/>
          <w:i w:val="0"/>
          <w:color w:val="454E60"/>
          <w:sz w:val="18"/>
        </w:rPr>
        <w:t>Expanded the partner network from zero to 600 locations in six months and designed the product end to end.</w:t>
      </w:r>
    </w:p>
    <w:p>
      <w:pPr>
        <w:pStyle w:val="ResumeRole"/>
        <w:tabs>
          <w:tab w:pos="10080" w:val="right"/>
        </w:tabs>
        <w:keepNext/>
        <w:keepLines/>
      </w:pPr>
      <w:r>
        <w:rPr>
          <w:rFonts w:ascii="Arial" w:hAnsi="Arial"/>
          <w:b/>
          <w:i w:val="0"/>
          <w:color w:val="141B2B"/>
          <w:sz w:val="22"/>
        </w:rPr>
        <w:t>Veterinary Practice</w:t>
      </w:r>
      <w:r>
        <w:rPr>
          <w:rFonts w:ascii="Arial" w:hAnsi="Arial"/>
          <w:b/>
          <w:i w:val="0"/>
          <w:color w:val="0B2C7D"/>
          <w:sz w:val="18"/>
        </w:rPr>
        <w:tab/>
        <w:t>2008 to 2015</w:t>
      </w:r>
    </w:p>
    <w:p>
      <w:pPr>
        <w:pStyle w:val="ResumeRoleDetail"/>
        <w:tabs>
          <w:tab w:pos="10080" w:val="right"/>
        </w:tabs>
        <w:keepNext/>
        <w:keepLines/>
      </w:pPr>
      <w:r>
        <w:rPr>
          <w:rFonts w:ascii="Arial" w:hAnsi="Arial"/>
          <w:b/>
          <w:i w:val="0"/>
          <w:color w:val="454E60"/>
          <w:sz w:val="18"/>
        </w:rPr>
        <w:t>Veterinary Surgeon</w:t>
      </w:r>
      <w:r>
        <w:rPr>
          <w:rFonts w:ascii="Arial" w:hAnsi="Arial"/>
          <w:b w:val="0"/>
          <w:i/>
          <w:color w:val="454E60"/>
          <w:sz w:val="18"/>
        </w:rPr>
        <w:tab/>
        <w:t>Australia and United Kingdom</w:t>
      </w:r>
    </w:p>
    <w:p>
      <w:pPr>
        <w:pStyle w:val="ResumeBullet"/>
        <w:numPr>
          <w:ilvl w:val="0"/>
          <w:numId w:val="10"/>
        </w:numPr>
        <w:keepLines/>
      </w:pPr>
      <w:r>
        <w:rPr>
          <w:rFonts w:ascii="Arial" w:hAnsi="Arial"/>
          <w:b w:val="0"/>
          <w:i w:val="0"/>
          <w:color w:val="454E60"/>
          <w:sz w:val="18"/>
        </w:rPr>
        <w:t>Worked across small-animal surgery, emergency and sole-charge practice, making consequential decisions from incomplete information under time pressure.</w:t>
      </w:r>
    </w:p>
    <w:p>
      <w:pPr>
        <w:pStyle w:val="Heading1"/>
        <w:keepNext/>
      </w:pPr>
      <w:r>
        <w:rPr>
          <w:rFonts w:ascii="Arial" w:hAnsi="Arial"/>
          <w:b/>
          <w:i w:val="0"/>
          <w:color w:val="0B2C7D"/>
          <w:sz w:val="20"/>
        </w:rPr>
        <w:t>SELECTED PRODUCT WORK</w:t>
      </w:r>
    </w:p>
    <w:p>
      <w:pPr>
        <w:pStyle w:val="Heading2"/>
        <w:keepNext/>
        <w:keepLines/>
      </w:pPr>
      <w:r>
        <w:rPr>
          <w:rFonts w:ascii="Arial" w:hAnsi="Arial"/>
          <w:b/>
          <w:i w:val="0"/>
          <w:color w:val="141B2B"/>
          <w:sz w:val="20"/>
        </w:rPr>
        <w:t>Clinician workflow prototype</w:t>
      </w:r>
      <w:r>
        <w:rPr>
          <w:rFonts w:ascii="Arial" w:hAnsi="Arial"/>
          <w:b w:val="0"/>
          <w:i/>
          <w:color w:val="454E60"/>
          <w:sz w:val="18"/>
        </w:rPr>
        <w:t xml:space="preserve"> | Confidential healthcare organisation</w:t>
      </w:r>
    </w:p>
    <w:p>
      <w:pPr>
        <w:keepLines/>
      </w:pPr>
      <w:r>
        <w:rPr>
          <w:rFonts w:ascii="Arial" w:hAnsi="Arial"/>
          <w:b w:val="0"/>
          <w:i w:val="0"/>
          <w:color w:val="454E60"/>
          <w:sz w:val="18"/>
        </w:rPr>
        <w:t>Turned a clinical lead’s accumulated frustrations with a months-long Salesforce build into wireframes and a working consult-centred prototype in about two hours. The clinic adopted the screen logic into its Salesforce build. Its developers built the production version. The public portfolio uses synthetic data.</w:t>
      </w:r>
    </w:p>
    <w:p>
      <w:pPr>
        <w:pStyle w:val="Heading2"/>
        <w:keepNext/>
        <w:keepLines/>
      </w:pPr>
      <w:r>
        <w:rPr>
          <w:rFonts w:ascii="Arial" w:hAnsi="Arial"/>
          <w:b/>
          <w:i w:val="0"/>
          <w:color w:val="141B2B"/>
          <w:sz w:val="20"/>
        </w:rPr>
        <w:t>Buyer Brief Builder</w:t>
      </w:r>
      <w:r>
        <w:rPr>
          <w:rFonts w:ascii="Arial" w:hAnsi="Arial"/>
          <w:b w:val="0"/>
          <w:i/>
          <w:color w:val="454E60"/>
          <w:sz w:val="18"/>
        </w:rPr>
        <w:t xml:space="preserve"> | Property services</w:t>
      </w:r>
    </w:p>
    <w:p>
      <w:pPr>
        <w:keepLines/>
      </w:pPr>
      <w:r>
        <w:rPr>
          <w:rFonts w:ascii="Arial" w:hAnsi="Arial"/>
          <w:b w:val="0"/>
          <w:i w:val="0"/>
          <w:color w:val="454E60"/>
          <w:sz w:val="18"/>
        </w:rPr>
        <w:t>Replaced a static PDF that buyers were not completing with a configurable, guided intake. Designed and built V1 with AI agents in a day. The client incorporated the intake structure, UI flow and design language into live workflows; the full standalone builder remains planned work.</w:t>
      </w:r>
    </w:p>
    <w:p>
      <w:pPr>
        <w:pStyle w:val="Heading2"/>
        <w:keepNext/>
        <w:keepLines/>
      </w:pPr>
      <w:r>
        <w:rPr>
          <w:rFonts w:ascii="Arial" w:hAnsi="Arial"/>
          <w:b/>
          <w:i w:val="0"/>
          <w:color w:val="141B2B"/>
          <w:sz w:val="20"/>
        </w:rPr>
        <w:t>Kaikki</w:t>
      </w:r>
      <w:r>
        <w:rPr>
          <w:rFonts w:ascii="Arial" w:hAnsi="Arial"/>
          <w:b w:val="0"/>
          <w:i/>
          <w:color w:val="454E60"/>
          <w:sz w:val="18"/>
        </w:rPr>
        <w:t xml:space="preserve"> | Active product prototype</w:t>
      </w:r>
    </w:p>
    <w:p>
      <w:pPr>
        <w:keepLines/>
      </w:pPr>
      <w:r>
        <w:rPr>
          <w:rFonts w:ascii="Arial" w:hAnsi="Arial"/>
          <w:b w:val="0"/>
          <w:i w:val="0"/>
          <w:color w:val="454E60"/>
          <w:sz w:val="18"/>
        </w:rPr>
        <w:t>Designed and built a knowledge and task prototype in which agents triage new inputs, add context and propose the next action. In development since December 2025.</w:t>
      </w:r>
    </w:p>
    <w:p>
      <w:pPr>
        <w:pStyle w:val="Heading1"/>
        <w:keepNext/>
      </w:pPr>
      <w:r>
        <w:rPr>
          <w:rFonts w:ascii="Arial" w:hAnsi="Arial"/>
          <w:b/>
          <w:i w:val="0"/>
          <w:color w:val="0B2C7D"/>
          <w:sz w:val="20"/>
        </w:rPr>
        <w:t>AI-NATIVE DELIVERY MODEL</w:t>
      </w:r>
    </w:p>
    <w:p>
      <w:pPr>
        <w:spacing w:after="40"/>
        <w:keepLines/>
      </w:pPr>
      <w:r>
        <w:rPr>
          <w:rFonts w:ascii="Arial" w:hAnsi="Arial"/>
          <w:b/>
          <w:i w:val="0"/>
          <w:color w:val="141B2B"/>
          <w:sz w:val="18"/>
        </w:rPr>
        <w:t xml:space="preserve">Frame and plan: </w:t>
      </w:r>
      <w:r>
        <w:rPr>
          <w:rFonts w:ascii="Arial" w:hAnsi="Arial"/>
          <w:b w:val="0"/>
          <w:i w:val="0"/>
          <w:color w:val="454E60"/>
          <w:sz w:val="18"/>
        </w:rPr>
        <w:t>Make the problem, scope, constraints, acceptance criteria and review standard explicit before agents begin execution.</w:t>
      </w:r>
    </w:p>
    <w:p>
      <w:pPr>
        <w:spacing w:after="40"/>
        <w:keepLines/>
      </w:pPr>
      <w:r>
        <w:rPr>
          <w:rFonts w:ascii="Arial" w:hAnsi="Arial"/>
          <w:b/>
          <w:i w:val="0"/>
          <w:color w:val="141B2B"/>
          <w:sz w:val="18"/>
        </w:rPr>
        <w:t xml:space="preserve">Direct and review: </w:t>
      </w:r>
      <w:r>
        <w:rPr>
          <w:rFonts w:ascii="Arial" w:hAnsi="Arial"/>
          <w:b w:val="0"/>
          <w:i w:val="0"/>
          <w:color w:val="454E60"/>
          <w:sz w:val="18"/>
        </w:rPr>
        <w:t>Delegate bounded work, inspect the interface and implementation, test across breakpoints and accessibility settings, then decide what ships.</w:t>
      </w:r>
    </w:p>
    <w:p>
      <w:pPr>
        <w:spacing w:after="40"/>
        <w:keepLines/>
      </w:pPr>
      <w:r>
        <w:rPr>
          <w:rFonts w:ascii="Arial" w:hAnsi="Arial"/>
          <w:b/>
          <w:i w:val="0"/>
          <w:color w:val="141B2B"/>
          <w:sz w:val="18"/>
        </w:rPr>
        <w:t xml:space="preserve">Compound: </w:t>
      </w:r>
      <w:r>
        <w:rPr>
          <w:rFonts w:ascii="Arial" w:hAnsi="Arial"/>
          <w:b w:val="0"/>
          <w:i w:val="0"/>
          <w:color w:val="454E60"/>
          <w:sz w:val="18"/>
        </w:rPr>
        <w:t>Move accepted decisions into shared tokens, components, tests and guidance. Record failed paths and block repeat mistakes where possible.</w:t>
      </w:r>
    </w:p>
    <w:p>
      <w:pPr>
        <w:pStyle w:val="Heading1"/>
        <w:keepNext/>
      </w:pPr>
      <w:r>
        <w:rPr>
          <w:rFonts w:ascii="Arial" w:hAnsi="Arial"/>
          <w:b/>
          <w:i w:val="0"/>
          <w:color w:val="0B2C7D"/>
          <w:sz w:val="20"/>
        </w:rPr>
        <w:t>EDUCATION</w:t>
      </w:r>
    </w:p>
    <w:p>
      <w:pPr>
        <w:tabs>
          <w:tab w:pos="10080" w:val="right"/>
        </w:tabs>
        <w:keepLines/>
      </w:pPr>
      <w:r>
        <w:rPr>
          <w:rFonts w:ascii="Arial" w:hAnsi="Arial"/>
          <w:b/>
          <w:i w:val="0"/>
          <w:color w:val="141B2B"/>
          <w:sz w:val="19"/>
        </w:rPr>
        <w:t>Bachelor of Veterinary Science, Honours Class I</w:t>
      </w:r>
      <w:r>
        <w:rPr>
          <w:rFonts w:ascii="Arial" w:hAnsi="Arial"/>
          <w:b w:val="0"/>
          <w:i w:val="0"/>
          <w:color w:val="454E60"/>
          <w:sz w:val="18"/>
        </w:rPr>
        <w:t xml:space="preserve"> | University of Queensland</w:t>
      </w:r>
      <w:r>
        <w:rPr>
          <w:rFonts w:ascii="Arial" w:hAnsi="Arial"/>
          <w:b/>
          <w:i w:val="0"/>
          <w:color w:val="0B2C7D"/>
          <w:sz w:val="18"/>
        </w:rPr>
        <w:tab/>
        <w:t>2007</w:t>
      </w:r>
    </w:p>
    <w:sectPr w:rsidR="00FC693F" w:rsidRPr="0006063C" w:rsidSect="00034616">
      <w:pgSz w:w="11906" w:h="16838"/>
      <w:pgMar w:top="850" w:right="964" w:bottom="850" w:left="964"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space"/>
      <w:pPr>
        <w:tabs>
          <w:tab w:val="num" w:pos="540"/>
        </w:tabs>
        <w:ind w:left="540" w:hanging="270"/>
        <w:spacing w:after="50" w:line="252" w:lineRule="auto"/>
      </w:pPr>
      <w:rPr>
        <w:rFonts w:ascii="Arial" w:hAnsi="Arial"/>
        <w:color w:val="0B2C7D"/>
      </w:rPr>
    </w:lvl>
  </w:abstract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52" w:lineRule="auto"/>
    </w:pPr>
    <w:rPr>
      <w:rFonts w:ascii="Arial" w:hAnsi="Arial"/>
      <w:b w:val="0"/>
      <w:color w:val="454E6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line="240" w:lineRule="auto"/>
      <w:outlineLvl w:val="0"/>
    </w:pPr>
    <w:rPr>
      <w:rFonts w:asciiTheme="majorHAnsi" w:eastAsiaTheme="majorEastAsia" w:hAnsiTheme="majorHAnsi" w:cstheme="majorBidi" w:ascii="Arial" w:hAnsi="Arial"/>
      <w:b/>
      <w:bCs/>
      <w:color w:val="0B2C7D"/>
      <w:sz w:val="20"/>
      <w:szCs w:val="28"/>
    </w:rPr>
  </w:style>
  <w:style w:type="paragraph" w:styleId="Heading2">
    <w:name w:val="heading 2"/>
    <w:basedOn w:val="Normal"/>
    <w:next w:val="Normal"/>
    <w:link w:val="Heading2Char"/>
    <w:uiPriority w:val="9"/>
    <w:unhideWhenUsed/>
    <w:qFormat/>
    <w:rsid w:val="00FC693F"/>
    <w:pPr>
      <w:keepNext/>
      <w:keepLines/>
      <w:spacing w:before="90" w:after="30" w:line="240" w:lineRule="auto"/>
      <w:outlineLvl w:val="1"/>
    </w:pPr>
    <w:rPr>
      <w:rFonts w:asciiTheme="majorHAnsi" w:eastAsiaTheme="majorEastAsia" w:hAnsiTheme="majorHAnsi" w:cstheme="majorBidi" w:ascii="Arial" w:hAnsi="Arial"/>
      <w:b/>
      <w:bCs/>
      <w:color w:val="141B2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ResumeRole">
    <w:name w:val="Resume Role"/>
    <w:pPr>
      <w:spacing w:before="110" w:after="10" w:line="240" w:lineRule="auto"/>
    </w:pPr>
    <w:rPr>
      <w:rFonts w:ascii="Arial" w:hAnsi="Arial"/>
      <w:b/>
      <w:color w:val="141B2B"/>
      <w:sz w:val="22"/>
    </w:rPr>
  </w:style>
  <w:style w:type="paragraph" w:customStyle="1" w:styleId="ResumeRoleDetail">
    <w:name w:val="Resume Role Detail"/>
    <w:pPr>
      <w:spacing w:before="0" w:after="40" w:line="240" w:lineRule="auto"/>
    </w:pPr>
    <w:rPr>
      <w:rFonts w:ascii="Arial" w:hAnsi="Arial"/>
      <w:b/>
      <w:color w:val="454E60"/>
      <w:sz w:val="18"/>
    </w:rPr>
  </w:style>
  <w:style w:type="paragraph" w:customStyle="1" w:styleId="ResumeBullet">
    <w:name w:val="Resume Bullet"/>
    <w:pPr>
      <w:spacing w:before="0" w:after="50" w:line="252" w:lineRule="auto"/>
    </w:pPr>
    <w:rPr>
      <w:rFonts w:ascii="Arial" w:hAnsi="Arial"/>
      <w:b w:val="0"/>
      <w:color w:val="454E60"/>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mailto:simon@simonheikkila.com" TargetMode="External"/><Relationship Id="rId10" Type="http://schemas.openxmlformats.org/officeDocument/2006/relationships/hyperlink" Target="https://simonheikkila.com" TargetMode="External"/><Relationship Id="rId11" Type="http://schemas.openxmlformats.org/officeDocument/2006/relationships/hyperlink" Target="https://www.linkedin.com/in/simon-heikki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Simon Heikkila - Resume</dc:title>
  <dc:subject>Product design, design engineering and AI-native UI/UX</dc:subject>
  <dc:creator>Simon Heikkila</dc:creator>
  <cp:keywords>product design, UI UX, design engineering, AI-native, product management</cp:keywords>
  <dc:description>Standard chronological resume for product design and AI-native UI/UX roles.</dc:description>
  <cp:lastModifiedBy>Simon Heikkila</cp:lastModifiedBy>
  <cp:revision>1</cp:revision>
  <dcterms:created xsi:type="dcterms:W3CDTF">2026-08-11T00:00:00Z</dcterms:created>
  <dcterms:modified xsi:type="dcterms:W3CDTF">2026-08-11T00:00:00Z</dcterms:modified>
  <cp:category/>
</cp:coreProperties>
</file>